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15" w:rsidRPr="00FC3515" w:rsidRDefault="00FC3515" w:rsidP="00FC351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FC351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SOSPENSIONE VERSAMENTI CONTRIBUTI PROFESSIONISTI - commi 20, 21 e 22</w:t>
      </w:r>
    </w:p>
    <w:p w:rsidR="00FC3515" w:rsidRPr="00FC3515" w:rsidRDefault="00FC3515" w:rsidP="00FC351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In sede di approvazione, al fine di ridurre gli effetti negativi dell'emergenza COVID-19 sui lavoratori autonomi e di favorire la ripresa dell'attività esercitata da quest'ultimi, è istituito un </w:t>
      </w:r>
      <w:r w:rsidRPr="00FC351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fondo per l'esonero dal versamento dei relativi contributi previdenziali</w:t>
      </w: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.</w:t>
      </w:r>
    </w:p>
    <w:p w:rsidR="00FC3515" w:rsidRPr="00FC3515" w:rsidRDefault="00FC3515" w:rsidP="00FC351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Tale fondo consente l'</w:t>
      </w:r>
      <w:r w:rsidRPr="00FC351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esonero parziale</w:t>
      </w: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dal pagamento dei contributi previdenziali dovuti:</w:t>
      </w:r>
    </w:p>
    <w:p w:rsidR="00FC3515" w:rsidRPr="00FC3515" w:rsidRDefault="00FC3515" w:rsidP="00FC3515">
      <w:pPr>
        <w:numPr>
          <w:ilvl w:val="0"/>
          <w:numId w:val="1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dai lavoratori autonomi iscritti alle Gestioni previdenziali INPS;</w:t>
      </w:r>
    </w:p>
    <w:p w:rsidR="00FC3515" w:rsidRPr="00FC3515" w:rsidRDefault="00FC3515" w:rsidP="00FC3515">
      <w:pPr>
        <w:numPr>
          <w:ilvl w:val="0"/>
          <w:numId w:val="1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dai professionisti iscritti agli Enti gestori di forme obbligatorie di previdenza e assistenza di cui al </w:t>
      </w:r>
      <w:proofErr w:type="spellStart"/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D.Lgs.</w:t>
      </w:r>
      <w:proofErr w:type="spellEnd"/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n. 509/94 (CNPADC, </w:t>
      </w:r>
      <w:proofErr w:type="spellStart"/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Inarcassa</w:t>
      </w:r>
      <w:proofErr w:type="spellEnd"/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, CIPAG, ENPAM, ecc.) e </w:t>
      </w:r>
      <w:proofErr w:type="spellStart"/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fldChar w:fldCharType="begin"/>
      </w: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instrText xml:space="preserve"> HYPERLINK "https://all-in.seac.it/" \l "/document/7/2810796/17728303" </w:instrText>
      </w: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fldChar w:fldCharType="separate"/>
      </w:r>
      <w:r w:rsidRPr="00FC3515">
        <w:rPr>
          <w:rFonts w:ascii="Arial" w:eastAsia="Times New Roman" w:hAnsi="Arial" w:cs="Arial"/>
          <w:color w:val="0079A3"/>
          <w:sz w:val="24"/>
          <w:szCs w:val="24"/>
          <w:lang w:eastAsia="it-IT"/>
        </w:rPr>
        <w:t>D.Lgs.</w:t>
      </w:r>
      <w:proofErr w:type="spellEnd"/>
      <w:r w:rsidRPr="00FC3515">
        <w:rPr>
          <w:rFonts w:ascii="Arial" w:eastAsia="Times New Roman" w:hAnsi="Arial" w:cs="Arial"/>
          <w:color w:val="0079A3"/>
          <w:sz w:val="24"/>
          <w:szCs w:val="24"/>
          <w:lang w:eastAsia="it-IT"/>
        </w:rPr>
        <w:t xml:space="preserve"> n. 103/96</w:t>
      </w: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fldChar w:fldCharType="end"/>
      </w: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(Casse Interprofessionali);</w:t>
      </w:r>
    </w:p>
    <w:p w:rsidR="00FC3515" w:rsidRPr="00FC3515" w:rsidRDefault="00FC3515" w:rsidP="00FC351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con un </w:t>
      </w:r>
      <w:r w:rsidRPr="00FC351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reddito complessivo 2019 non superiore a € 50.000</w:t>
      </w: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che hanno subito una </w:t>
      </w:r>
      <w:r w:rsidRPr="00FC351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riduzione del fatturato / corrispettivi 2020 non inferiore al 33%</w:t>
      </w: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rispetto a quello del 2019.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9"/>
        <w:gridCol w:w="8015"/>
      </w:tblGrid>
      <w:tr w:rsidR="00FC3515" w:rsidRPr="00FC3515" w:rsidTr="00FC3515">
        <w:tc>
          <w:tcPr>
            <w:tcW w:w="849" w:type="pct"/>
            <w:tcBorders>
              <w:top w:val="single" w:sz="6" w:space="0" w:color="575756"/>
              <w:left w:val="single" w:sz="6" w:space="0" w:color="575756"/>
              <w:bottom w:val="single" w:sz="6" w:space="0" w:color="575756"/>
              <w:right w:val="single" w:sz="6" w:space="0" w:color="57575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515" w:rsidRPr="00FC3515" w:rsidRDefault="00FC3515" w:rsidP="00FC3515">
            <w:pPr>
              <w:spacing w:before="15" w:after="100" w:afterAutospacing="1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4A4A4A"/>
                <w:sz w:val="24"/>
                <w:szCs w:val="24"/>
                <w:lang w:eastAsia="it-IT"/>
              </w:rPr>
              <w:drawing>
                <wp:inline distT="0" distB="0" distL="0" distR="0">
                  <wp:extent cx="533400" cy="600075"/>
                  <wp:effectExtent l="19050" t="0" r="0" b="0"/>
                  <wp:docPr id="1" name="Immagine 1" descr="https://allin-document.seac.it/api/Values/Immagine?idDatabank=319&amp;nomeFile=Af21005-web-resources/image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llin-document.seac.it/api/Values/Immagine?idDatabank=319&amp;nomeFile=Af21005-web-resources/image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single" w:sz="6" w:space="0" w:color="575756"/>
              <w:left w:val="single" w:sz="6" w:space="0" w:color="575756"/>
              <w:bottom w:val="single" w:sz="6" w:space="0" w:color="575756"/>
              <w:right w:val="single" w:sz="6" w:space="0" w:color="575756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3515" w:rsidRPr="00FC3515" w:rsidRDefault="00FC3515" w:rsidP="00FC3515">
            <w:pPr>
              <w:spacing w:after="15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</w:pPr>
            <w:r w:rsidRPr="00FC351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Sono </w:t>
            </w:r>
            <w:r w:rsidRPr="00FC3515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it-IT"/>
              </w:rPr>
              <w:t>esclusi</w:t>
            </w:r>
            <w:r w:rsidRPr="00FC351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 dall'esonero i premi INAIL.</w:t>
            </w:r>
          </w:p>
        </w:tc>
      </w:tr>
    </w:tbl>
    <w:p w:rsidR="00FC3515" w:rsidRDefault="00FC3515" w:rsidP="00FC351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p w:rsidR="00FC3515" w:rsidRDefault="00FC3515" w:rsidP="00FC351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FC351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Le modalità per la concessione dell'esonero sono demandate ad un apposito Decreto.</w:t>
      </w:r>
    </w:p>
    <w:p w:rsidR="00FC3515" w:rsidRPr="00FC3515" w:rsidRDefault="00FC3515" w:rsidP="00FC351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769"/>
      </w:tblGrid>
      <w:tr w:rsidR="00FC3515" w:rsidRPr="00FC3515" w:rsidTr="00FC3515">
        <w:tc>
          <w:tcPr>
            <w:tcW w:w="338" w:type="pct"/>
            <w:tcBorders>
              <w:top w:val="single" w:sz="6" w:space="0" w:color="575756"/>
              <w:left w:val="single" w:sz="6" w:space="0" w:color="575756"/>
              <w:bottom w:val="single" w:sz="6" w:space="0" w:color="575756"/>
              <w:right w:val="single" w:sz="6" w:space="0" w:color="57575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515" w:rsidRPr="00FC3515" w:rsidRDefault="00FC3515" w:rsidP="00FC3515">
            <w:pPr>
              <w:spacing w:before="15" w:after="100" w:afterAutospacing="1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4A4A4A"/>
                <w:sz w:val="24"/>
                <w:szCs w:val="24"/>
                <w:lang w:eastAsia="it-IT"/>
              </w:rPr>
              <w:drawing>
                <wp:inline distT="0" distB="0" distL="0" distR="0">
                  <wp:extent cx="533400" cy="600075"/>
                  <wp:effectExtent l="19050" t="0" r="0" b="0"/>
                  <wp:docPr id="2" name="Immagine 2" descr="https://allin-document.seac.it/api/Values/Immagine?idDatabank=319&amp;nomeFile=Af21005-web-resources/image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llin-document.seac.it/api/Values/Immagine?idDatabank=319&amp;nomeFile=Af21005-web-resources/image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pct"/>
            <w:tcBorders>
              <w:top w:val="single" w:sz="6" w:space="0" w:color="575756"/>
              <w:left w:val="single" w:sz="6" w:space="0" w:color="575756"/>
              <w:bottom w:val="single" w:sz="6" w:space="0" w:color="575756"/>
              <w:right w:val="single" w:sz="6" w:space="0" w:color="575756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3515" w:rsidRPr="00FC3515" w:rsidRDefault="00FC3515" w:rsidP="00FC3515">
            <w:pPr>
              <w:spacing w:after="15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</w:pPr>
            <w:r w:rsidRPr="00FC351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Sono esonerati dal pagamento dei contributi previdenziali </w:t>
            </w:r>
            <w:r w:rsidRPr="00FC3515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it-IT"/>
              </w:rPr>
              <w:t>i medici / infermieri</w:t>
            </w:r>
            <w:r w:rsidRPr="00FC351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 / </w:t>
            </w:r>
            <w:r w:rsidRPr="00FC3515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it-IT"/>
              </w:rPr>
              <w:t>altri professionisti e operatori</w:t>
            </w:r>
            <w:r w:rsidRPr="00FC351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 di cui alla Legge n. 3/2018 tra cui, ad esempio, odontoiatri, veterinari, farmacisti, biologi e chimici, già collocati in quiescenza ed assunti per l'emergenza COVID-19.</w:t>
            </w:r>
          </w:p>
        </w:tc>
      </w:tr>
    </w:tbl>
    <w:p w:rsidR="00B51093" w:rsidRDefault="00B51093"/>
    <w:p w:rsidR="001B373E" w:rsidRPr="001B373E" w:rsidRDefault="001B373E" w:rsidP="001B373E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1B373E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IVA AGEVOLATA PIATTI PRONTI E ASPORTO - comma 40</w:t>
      </w:r>
    </w:p>
    <w:p w:rsidR="001B373E" w:rsidRPr="001B373E" w:rsidRDefault="001B373E" w:rsidP="001B373E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1B373E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In sede di approvazione, con una norma di interpretazione autentica della nozione di preparazioni alimentari di cui al n. 80), Tabella A, Parte III, DPR n. 633/72, è prevista l'applicazione dell'aliquota IVA ridotta del 10% alle cessioni di </w:t>
      </w:r>
      <w:r w:rsidRPr="001B373E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piatti pronti / pasti cotti, arrostiti, fritti o altrimenti preparati</w:t>
      </w:r>
      <w:r w:rsidRPr="001B373E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in vista:</w:t>
      </w:r>
    </w:p>
    <w:p w:rsidR="001B373E" w:rsidRPr="001B373E" w:rsidRDefault="001B373E" w:rsidP="001B373E">
      <w:pPr>
        <w:numPr>
          <w:ilvl w:val="0"/>
          <w:numId w:val="2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1B373E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del loro </w:t>
      </w:r>
      <w:r w:rsidRPr="001B373E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consumo immediato</w:t>
      </w:r>
      <w:r w:rsidRPr="001B373E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;</w:t>
      </w:r>
    </w:p>
    <w:p w:rsidR="001B373E" w:rsidRPr="001B373E" w:rsidRDefault="001B373E" w:rsidP="001B373E">
      <w:pPr>
        <w:numPr>
          <w:ilvl w:val="0"/>
          <w:numId w:val="2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1B373E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della loro </w:t>
      </w:r>
      <w:r w:rsidRPr="001B373E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consegna a domicilio o dell'asporto</w:t>
      </w:r>
      <w:r w:rsidRPr="001B373E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.</w:t>
      </w:r>
    </w:p>
    <w:p w:rsidR="001B373E" w:rsidRDefault="001B373E" w:rsidP="001B373E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1B373E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La nuova disposizione risolve la questione apertasi a seguito dell'interpretazione fornita dall'Agenzia delle Entrate e della Risposta del MEF in sede parlamentare </w:t>
      </w:r>
    </w:p>
    <w:p w:rsidR="00C01846" w:rsidRDefault="00C01846" w:rsidP="001B373E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p w:rsidR="00C01846" w:rsidRPr="001B373E" w:rsidRDefault="00C01846" w:rsidP="001B373E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p w:rsidR="00C01846" w:rsidRPr="00C01846" w:rsidRDefault="00C01846" w:rsidP="00C01846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C01846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BONUS VEICOLI ELETTRICI - commi da 77 a 79</w:t>
      </w:r>
    </w:p>
    <w:p w:rsidR="00C01846" w:rsidRPr="00C01846" w:rsidRDefault="00C01846" w:rsidP="00C01846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C01846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In sede di approvazione è stato previsto il riconoscimento di un </w:t>
      </w:r>
      <w:r w:rsidRPr="00C01846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contributo pari al 40%</w:t>
      </w:r>
      <w:r w:rsidRPr="00C01846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delle spese sostenute e rimaste a carico dell'acquirente a favore dei soggetti con ISEE inferiore a € 30.000 per l'acquisto, in Italia, entro il 31.12.2021 anche in leasing, di </w:t>
      </w:r>
      <w:r w:rsidRPr="00C01846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veicoli nuovi di fabbrica alimentati esclusivamente ad energia elettrica</w:t>
      </w:r>
      <w:r w:rsidRPr="00C01846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 di potenza pari o inferiore a 150 kW di categoria M1 di cui all'art. 47, comma 2, lett. b), </w:t>
      </w:r>
      <w:proofErr w:type="spellStart"/>
      <w:r w:rsidRPr="00C01846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D.Lgs.</w:t>
      </w:r>
      <w:proofErr w:type="spellEnd"/>
      <w:r w:rsidRPr="00C01846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n. 285/92 aventi un prezzo inferiore a € 30.000 (al netto IVA).</w:t>
      </w:r>
    </w:p>
    <w:p w:rsidR="00C01846" w:rsidRPr="00C01846" w:rsidRDefault="00C01846" w:rsidP="00C01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C01846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Il contributo in esame:</w:t>
      </w:r>
    </w:p>
    <w:p w:rsidR="00C01846" w:rsidRPr="00C01846" w:rsidRDefault="00C01846" w:rsidP="00C01846">
      <w:pPr>
        <w:numPr>
          <w:ilvl w:val="0"/>
          <w:numId w:val="3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C01846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è riconosciuto nel limite di spesa dell'apposito fondo di € 20 milioni per il 2021 e fino all'esaurimento delle risorse;</w:t>
      </w:r>
    </w:p>
    <w:p w:rsidR="00C01846" w:rsidRPr="00C01846" w:rsidRDefault="00C01846" w:rsidP="00C01846">
      <w:pPr>
        <w:numPr>
          <w:ilvl w:val="0"/>
          <w:numId w:val="3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C01846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è alternativo e non cumulabile con altri contributi statali.</w:t>
      </w:r>
    </w:p>
    <w:p w:rsidR="00C01846" w:rsidRPr="00C01846" w:rsidRDefault="00C01846" w:rsidP="00C01846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C01846">
        <w:rPr>
          <w:rFonts w:ascii="Arial" w:eastAsia="Times New Roman" w:hAnsi="Arial" w:cs="Arial"/>
          <w:color w:val="4A4A4A"/>
          <w:sz w:val="24"/>
          <w:szCs w:val="24"/>
          <w:lang w:eastAsia="it-IT"/>
        </w:rPr>
        <w:lastRenderedPageBreak/>
        <w:t>Le modalità / termini di erogazione del contributo in esame sono demandate ad un apposito Decreto.</w:t>
      </w:r>
    </w:p>
    <w:p w:rsidR="001B373E" w:rsidRDefault="001B373E"/>
    <w:p w:rsidR="00764155" w:rsidRP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COMPENSAZIONE TELEMATICA CREDITI / DEBITI COMMERCIALI - commi da 227 a 229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In sede di approvazione, con l'aggiunta del nuovo comma 3-bis all'art. 4, </w:t>
      </w:r>
      <w:proofErr w:type="spellStart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D.Lgs.</w:t>
      </w:r>
      <w:proofErr w:type="spellEnd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n. 127/2015 è previsto che l'Agenzia delle Entrate mette a disposizione dei contribuenti residenti / stabiliti in Italia una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piattaforma telematica dedicata alla compensazione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di crediti / debiti derivanti da transazioni commerciali tra tali soggetti, ad esclusione delle Amministrazioni pubbliche di cui all'</w:t>
      </w:r>
      <w:hyperlink r:id="rId6" w:anchor="/document/7/2786237/19787209" w:history="1">
        <w:r w:rsidRPr="00764155">
          <w:rPr>
            <w:rFonts w:ascii="Arial" w:eastAsia="Times New Roman" w:hAnsi="Arial" w:cs="Arial"/>
            <w:color w:val="0079A3"/>
            <w:sz w:val="24"/>
            <w:szCs w:val="24"/>
            <w:lang w:eastAsia="it-IT"/>
          </w:rPr>
          <w:t>art. 1, comma 2, Legge n. 196/2009</w:t>
        </w:r>
      </w:hyperlink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,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risultanti da fatture elettroniche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La compensazione effettuata mediante la piattaforma telematica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 xml:space="preserve">produce </w:t>
      </w:r>
      <w:proofErr w:type="spellStart"/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glistessi</w:t>
      </w:r>
      <w:proofErr w:type="spellEnd"/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 xml:space="preserve"> effetti dell'estinzione dell'obbligazione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prevista dal Codice civile, fino a concorrenza dello stesso valore, a condizione che per nessuna parte siano in corso procedure concorsuali / ristrutturazione del debito omologate / piani attestati di risanamento iscritti presso il Registro delle Imprese.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Nei confronti del debito originario insoluto è applicabile quanto previsto dal </w:t>
      </w:r>
      <w:proofErr w:type="spellStart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fldChar w:fldCharType="begin"/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instrText xml:space="preserve"> HYPERLINK "https://all-in.seac.it/" \l "/document/7/2805418/19297188" </w:instrTex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fldChar w:fldCharType="separate"/>
      </w:r>
      <w:r w:rsidRPr="00764155">
        <w:rPr>
          <w:rFonts w:ascii="Arial" w:eastAsia="Times New Roman" w:hAnsi="Arial" w:cs="Arial"/>
          <w:color w:val="0079A3"/>
          <w:sz w:val="24"/>
          <w:szCs w:val="24"/>
          <w:lang w:eastAsia="it-IT"/>
        </w:rPr>
        <w:t>D.Lgs.</w:t>
      </w:r>
      <w:proofErr w:type="spellEnd"/>
      <w:r w:rsidRPr="00764155">
        <w:rPr>
          <w:rFonts w:ascii="Arial" w:eastAsia="Times New Roman" w:hAnsi="Arial" w:cs="Arial"/>
          <w:color w:val="0079A3"/>
          <w:sz w:val="24"/>
          <w:szCs w:val="24"/>
          <w:lang w:eastAsia="it-IT"/>
        </w:rPr>
        <w:t xml:space="preserve"> n. 231/2002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fldChar w:fldCharType="end"/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in materia di ritardi di pagamento nelle transazioni commerciali.</w:t>
      </w:r>
    </w:p>
    <w:p w:rsid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Le modalità operative della nuova disposizione sono demandate ad un apposito Decreto.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p w:rsidR="00764155" w:rsidRP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RIDUZIONE CAPITALE SOCIALE PER PERDITE - comma 266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In sede di approvazione è stato disposto che per le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perdite dell'esercizio in corso al 31.12.2020 non sono applicabili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le seguenti disposizioni in materia di perdita del capitale sociale e riduzione dello stesso al di sotto del minimo legale:</w:t>
      </w:r>
    </w:p>
    <w:p w:rsidR="00764155" w:rsidRPr="00764155" w:rsidRDefault="00764155" w:rsidP="00764155">
      <w:pPr>
        <w:numPr>
          <w:ilvl w:val="0"/>
          <w:numId w:val="4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hyperlink r:id="rId7" w:anchor="/document/10/2803572/20063573" w:history="1">
        <w:r w:rsidRPr="00764155">
          <w:rPr>
            <w:rFonts w:ascii="Arial" w:eastAsia="Times New Roman" w:hAnsi="Arial" w:cs="Arial"/>
            <w:color w:val="0079A3"/>
            <w:sz w:val="24"/>
            <w:szCs w:val="24"/>
            <w:lang w:eastAsia="it-IT"/>
          </w:rPr>
          <w:t>artt. 2446,</w:t>
        </w:r>
      </w:hyperlink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comma 2 e </w:t>
      </w:r>
      <w:hyperlink r:id="rId8" w:anchor="/document/10/2803572/20063632" w:history="1">
        <w:r w:rsidRPr="00764155">
          <w:rPr>
            <w:rFonts w:ascii="Arial" w:eastAsia="Times New Roman" w:hAnsi="Arial" w:cs="Arial"/>
            <w:color w:val="0079A3"/>
            <w:sz w:val="24"/>
            <w:szCs w:val="24"/>
            <w:lang w:eastAsia="it-IT"/>
          </w:rPr>
          <w:t xml:space="preserve">2482-bis, comma 4, </w:t>
        </w:r>
        <w:proofErr w:type="spellStart"/>
        <w:r w:rsidRPr="00764155">
          <w:rPr>
            <w:rFonts w:ascii="Arial" w:eastAsia="Times New Roman" w:hAnsi="Arial" w:cs="Arial"/>
            <w:color w:val="0079A3"/>
            <w:sz w:val="24"/>
            <w:szCs w:val="24"/>
            <w:lang w:eastAsia="it-IT"/>
          </w:rPr>
          <w:t>C.c</w:t>
        </w:r>
        <w:proofErr w:type="spellEnd"/>
      </w:hyperlink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che disciplinano i comportamenti da tenere nel caso in cui entro l'esercizio successivo la perdita non risulta diminuita a meno di 1/3 ;</w:t>
      </w:r>
    </w:p>
    <w:p w:rsidR="00764155" w:rsidRPr="00764155" w:rsidRDefault="00764155" w:rsidP="00764155">
      <w:pPr>
        <w:numPr>
          <w:ilvl w:val="0"/>
          <w:numId w:val="4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hyperlink r:id="rId9" w:anchor="/document/10/2803572/20063574" w:history="1">
        <w:r w:rsidRPr="00764155">
          <w:rPr>
            <w:rFonts w:ascii="Arial" w:eastAsia="Times New Roman" w:hAnsi="Arial" w:cs="Arial"/>
            <w:color w:val="0079A3"/>
            <w:sz w:val="24"/>
            <w:szCs w:val="24"/>
            <w:lang w:eastAsia="it-IT"/>
          </w:rPr>
          <w:t>artt. 2447</w:t>
        </w:r>
      </w:hyperlink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e </w:t>
      </w:r>
      <w:hyperlink r:id="rId10" w:anchor="/document/10/2803572/20063633" w:history="1">
        <w:r w:rsidRPr="00764155">
          <w:rPr>
            <w:rFonts w:ascii="Arial" w:eastAsia="Times New Roman" w:hAnsi="Arial" w:cs="Arial"/>
            <w:color w:val="0079A3"/>
            <w:sz w:val="24"/>
            <w:szCs w:val="24"/>
            <w:lang w:eastAsia="it-IT"/>
          </w:rPr>
          <w:t>2482-ter, C.c.</w:t>
        </w:r>
      </w:hyperlink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che disciplinano i comportamenti da tenere in presenza di una perdita di oltre 1/3 del capitale con riduzione dello stesso al di sotto del minimo legale;</w:t>
      </w:r>
    </w:p>
    <w:p w:rsidR="00764155" w:rsidRPr="00764155" w:rsidRDefault="00764155" w:rsidP="00764155">
      <w:pPr>
        <w:numPr>
          <w:ilvl w:val="0"/>
          <w:numId w:val="4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hyperlink r:id="rId11" w:anchor="/document/10/2803572/20063632" w:history="1">
        <w:r w:rsidRPr="00764155">
          <w:rPr>
            <w:rFonts w:ascii="Arial" w:eastAsia="Times New Roman" w:hAnsi="Arial" w:cs="Arial"/>
            <w:color w:val="0079A3"/>
            <w:sz w:val="24"/>
            <w:szCs w:val="24"/>
            <w:lang w:val="en-US" w:eastAsia="it-IT"/>
          </w:rPr>
          <w:t>art. 2482-bis, comma 5, C.c.</w:t>
        </w:r>
      </w:hyperlink>
      <w:r w:rsidRPr="00764155">
        <w:rPr>
          <w:rFonts w:ascii="Arial" w:eastAsia="Times New Roman" w:hAnsi="Arial" w:cs="Arial"/>
          <w:color w:val="4A4A4A"/>
          <w:sz w:val="24"/>
          <w:szCs w:val="24"/>
          <w:lang w:val="en-US" w:eastAsia="it-IT"/>
        </w:rPr>
        <w:t> 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in base al quale in caso di mancata riduzione del capitale da parte della società, il Tribunale, anche su istanza di qualsiasi interessato, provvede con Decreto soggetto a reclamo, da iscrivere nel Registro delle Imprese a cura degli amministratori;</w:t>
      </w:r>
    </w:p>
    <w:p w:rsidR="00764155" w:rsidRPr="00764155" w:rsidRDefault="00764155" w:rsidP="00764155">
      <w:pPr>
        <w:numPr>
          <w:ilvl w:val="0"/>
          <w:numId w:val="4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hyperlink r:id="rId12" w:anchor="/document/10/2803572/20063632" w:history="1">
        <w:r w:rsidRPr="00764155">
          <w:rPr>
            <w:rFonts w:ascii="Arial" w:eastAsia="Times New Roman" w:hAnsi="Arial" w:cs="Arial"/>
            <w:color w:val="0079A3"/>
            <w:sz w:val="24"/>
            <w:szCs w:val="24"/>
            <w:lang w:val="en-US" w:eastAsia="it-IT"/>
          </w:rPr>
          <w:t>art. 2482-bis, comma 6, C.c.</w:t>
        </w:r>
      </w:hyperlink>
      <w:r w:rsidRPr="00764155">
        <w:rPr>
          <w:rFonts w:ascii="Arial" w:eastAsia="Times New Roman" w:hAnsi="Arial" w:cs="Arial"/>
          <w:color w:val="4A4A4A"/>
          <w:sz w:val="24"/>
          <w:szCs w:val="24"/>
          <w:lang w:val="en-US" w:eastAsia="it-IT"/>
        </w:rPr>
        <w:t> 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in base al quale è applicabile, in quanto compatibile, il comma 3 dell'art. 2446 in base al quale nel caso in cui le azioni emesse siano senza valore nominale è possibile prevedere che la riduzione del capitale sia deliberata dal Consiglio di amministrazione;</w:t>
      </w:r>
    </w:p>
    <w:p w:rsidR="00764155" w:rsidRPr="00764155" w:rsidRDefault="00764155" w:rsidP="00764155">
      <w:pPr>
        <w:numPr>
          <w:ilvl w:val="0"/>
          <w:numId w:val="4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hyperlink r:id="rId13" w:anchor="/document/10/2803572/20063636" w:history="1">
        <w:r w:rsidRPr="00764155">
          <w:rPr>
            <w:rFonts w:ascii="Arial" w:eastAsia="Times New Roman" w:hAnsi="Arial" w:cs="Arial"/>
            <w:color w:val="0079A3"/>
            <w:sz w:val="24"/>
            <w:szCs w:val="24"/>
            <w:lang w:val="en-US" w:eastAsia="it-IT"/>
          </w:rPr>
          <w:t>art. 2484, comma 1, n. 4, C.c.</w:t>
        </w:r>
      </w:hyperlink>
      <w:r w:rsidRPr="00764155">
        <w:rPr>
          <w:rFonts w:ascii="Arial" w:eastAsia="Times New Roman" w:hAnsi="Arial" w:cs="Arial"/>
          <w:color w:val="4A4A4A"/>
          <w:sz w:val="24"/>
          <w:szCs w:val="24"/>
          <w:lang w:val="en-US" w:eastAsia="it-IT"/>
        </w:rPr>
        <w:t> 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in base al quale le spa / </w:t>
      </w:r>
      <w:proofErr w:type="spellStart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sapa</w:t>
      </w:r>
      <w:proofErr w:type="spellEnd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/ srl si sciolgono per la riduzione del capitale al di sotto del minimo legale;</w:t>
      </w:r>
    </w:p>
    <w:p w:rsidR="00764155" w:rsidRPr="00764155" w:rsidRDefault="00764155" w:rsidP="00764155">
      <w:pPr>
        <w:numPr>
          <w:ilvl w:val="0"/>
          <w:numId w:val="4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hyperlink r:id="rId14" w:anchor="/document/10/2803572/20063749" w:history="1">
        <w:r w:rsidRPr="00764155">
          <w:rPr>
            <w:rFonts w:ascii="Arial" w:eastAsia="Times New Roman" w:hAnsi="Arial" w:cs="Arial"/>
            <w:color w:val="0079A3"/>
            <w:sz w:val="24"/>
            <w:szCs w:val="24"/>
            <w:lang w:eastAsia="it-IT"/>
          </w:rPr>
          <w:t>art. 2545-duodecies, C.c.</w:t>
        </w:r>
      </w:hyperlink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che disciplina le cause di scioglimento delle società cooperative.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È inoltre:</w:t>
      </w:r>
    </w:p>
    <w:p w:rsidR="00764155" w:rsidRPr="00764155" w:rsidRDefault="00764155" w:rsidP="00764155">
      <w:pPr>
        <w:numPr>
          <w:ilvl w:val="0"/>
          <w:numId w:val="5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posticipato al quinto esercizio successivo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(in luogo dell'esercizio successivo) e, quindi, al bilancio 2025 il termine stabilito dai citati artt. 2446, comma 2 e 2482-bis, comma 4, entro il quale la perdita deve risultare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diminuita a meno di 1/3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.</w:t>
      </w:r>
    </w:p>
    <w:p w:rsidR="00764155" w:rsidRPr="00764155" w:rsidRDefault="00764155" w:rsidP="00764155">
      <w:pPr>
        <w:shd w:val="clear" w:color="auto" w:fill="FFFFFF"/>
        <w:spacing w:after="15" w:line="240" w:lineRule="auto"/>
        <w:ind w:left="93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lastRenderedPageBreak/>
        <w:t>In tal caso l'assemblea che approva il bilancio deve ridurre il capitale in proporzione delle perdite accertate;</w:t>
      </w:r>
    </w:p>
    <w:p w:rsidR="00764155" w:rsidRPr="00764155" w:rsidRDefault="00764155" w:rsidP="00764155">
      <w:pPr>
        <w:numPr>
          <w:ilvl w:val="0"/>
          <w:numId w:val="5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previsto che nelle ipotesi di cui al citati art. 2447 e 2482-ter l'assemblea, in alternativa all'immediata riduzione del capitale e al contemporaneo aumento dello stesso ad una somma non inferiore al minimo legale, può deliberare di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rinviare tali decisioni alla chiusura del quinto esercizio successivo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(2025).</w:t>
      </w:r>
    </w:p>
    <w:p w:rsidR="00764155" w:rsidRPr="00764155" w:rsidRDefault="00764155" w:rsidP="00764155">
      <w:pPr>
        <w:shd w:val="clear" w:color="auto" w:fill="FFFFFF"/>
        <w:spacing w:after="15" w:line="240" w:lineRule="auto"/>
        <w:ind w:left="93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L'assemblea che approva il bilancio di quest'ultimo esercizio deve procedere alle deliberazioni di cui ai citati art. 2447 e 2482-ter;</w:t>
      </w:r>
    </w:p>
    <w:p w:rsidR="00764155" w:rsidRPr="00764155" w:rsidRDefault="00764155" w:rsidP="00764155">
      <w:pPr>
        <w:numPr>
          <w:ilvl w:val="0"/>
          <w:numId w:val="5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previsto che fino alla data della predetta assemblea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non operano le cause di scioglimento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della società per riduzione / perdita del capitale sociale di cui ai citati </w:t>
      </w:r>
      <w:hyperlink r:id="rId15" w:anchor="/document/10/2803572/20063636" w:history="1">
        <w:r w:rsidRPr="00764155">
          <w:rPr>
            <w:rFonts w:ascii="Arial" w:eastAsia="Times New Roman" w:hAnsi="Arial" w:cs="Arial"/>
            <w:color w:val="0079A3"/>
            <w:sz w:val="24"/>
            <w:szCs w:val="24"/>
            <w:lang w:eastAsia="it-IT"/>
          </w:rPr>
          <w:t>art. 2484,</w:t>
        </w:r>
      </w:hyperlink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comma 1, n. 4 e </w:t>
      </w:r>
      <w:hyperlink r:id="rId16" w:anchor="/document/10/2803572/20063749" w:history="1">
        <w:r w:rsidRPr="00764155">
          <w:rPr>
            <w:rFonts w:ascii="Arial" w:eastAsia="Times New Roman" w:hAnsi="Arial" w:cs="Arial"/>
            <w:color w:val="0079A3"/>
            <w:sz w:val="24"/>
            <w:szCs w:val="24"/>
            <w:lang w:eastAsia="it-IT"/>
          </w:rPr>
          <w:t>2545-duodecies, C.c.</w:t>
        </w:r>
      </w:hyperlink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;</w:t>
      </w:r>
    </w:p>
    <w:p w:rsidR="00764155" w:rsidRDefault="00764155" w:rsidP="00764155">
      <w:pPr>
        <w:numPr>
          <w:ilvl w:val="0"/>
          <w:numId w:val="5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previsto che le perdite in esame devono essere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distintamente indicate in Nota integrativa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con specificazione, in appositi prospetti della loro origine nonché delle movimentazioni intervenute nell'esercizio.</w:t>
      </w:r>
    </w:p>
    <w:p w:rsidR="00764155" w:rsidRPr="00764155" w:rsidRDefault="00764155" w:rsidP="00DF5B9C">
      <w:pPr>
        <w:shd w:val="clear" w:color="auto" w:fill="FFFFFF"/>
        <w:spacing w:before="15" w:after="15" w:line="240" w:lineRule="auto"/>
        <w:ind w:left="93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p w:rsidR="00764155" w:rsidRP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DETRAZIONE SPESE VETERINARIE - comma 333</w:t>
      </w:r>
    </w:p>
    <w:p w:rsid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In sede di approvazione con la modifica dell'art. 15, comma 1, lett. c-bis), TUIR, è stata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aumentata da € 500 a € 550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la detrazione delle spese veterinarie (resta ferma </w:t>
      </w:r>
      <w:hyperlink r:id="rId17" w:anchor="/document/7/2789240/18979435" w:history="1">
        <w:r w:rsidRPr="00764155">
          <w:rPr>
            <w:rFonts w:ascii="Arial" w:eastAsia="Times New Roman" w:hAnsi="Arial" w:cs="Arial"/>
            <w:color w:val="0079A3"/>
            <w:sz w:val="24"/>
            <w:szCs w:val="24"/>
            <w:lang w:eastAsia="it-IT"/>
          </w:rPr>
          <w:t>la franchigia di € 129,11</w:t>
        </w:r>
      </w:hyperlink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).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p w:rsidR="00764155" w:rsidRP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AUMENTO CONTRIBUZIONE PER INDENNIZZO ROTTAMAZIONE LICENZE - comma 380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A decorrere dal 2019, a favore dei commercianti che cessano l'attività consegnando la licenza in Comune, è riconosciuto l'indennizzo di cui al </w:t>
      </w:r>
      <w:proofErr w:type="spellStart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D.Lgs.</w:t>
      </w:r>
      <w:proofErr w:type="spellEnd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n. 207/96.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In particolare si rammenta che l'indennizzo spetta ai soggetti con almeno 62 anni di età (57 se donne) che al momento della cessazione dell'attività risultano iscritti per almeno 5 anni alla Gestione IVS commercianti ed è pari all'importo del trattamento minimo di pensione previsto per gli iscritti alla Gestione IVS. Per il finanziamento di tale indennizzo è previsto l'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aumento dello 0,09% della contribuzione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alla Gestione IVS commercianti.</w:t>
      </w:r>
    </w:p>
    <w:p w:rsid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aps/>
          <w:color w:val="4A4A4A"/>
          <w:sz w:val="24"/>
          <w:szCs w:val="24"/>
          <w:lang w:eastAsia="it-IT"/>
        </w:rPr>
        <w:t>M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odificando l'art. 5, comma 2, </w:t>
      </w:r>
      <w:proofErr w:type="spellStart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D.Lgs.</w:t>
      </w:r>
      <w:proofErr w:type="spellEnd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n. 207/96 è ora disposto che,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a decorrere dall'1.1.2022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, gli iscritti alla Gestione IVS commercianti sono tenuti al versamento dell'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aliquota contributiva aggiuntiva nella misura dello 0,48%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, che nella misura dello 0,46% sarà destinato al Fondo per l'indennizzo spettante per la cessazione dell'attività.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p w:rsidR="00764155" w:rsidRP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 xml:space="preserve">INDENNITÀ STRAORDINARIA </w:t>
      </w:r>
      <w:proofErr w:type="spellStart"/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DI</w:t>
      </w:r>
      <w:proofErr w:type="spellEnd"/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 xml:space="preserve"> CONTINUITÀ REDDITUALE - commi da 386 a 401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In sede di approvazione è stata istituita in via sperimentale, per il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triennio 2021-2023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, l'indennità straordinaria di continuità reddituale e operativa (ISCRO), riconosciuta per 6 mensilità a favore dei soggetti iscritti alla Gestione separata INPS esercenti attività di lavoro autonomo di cui all'art. 53, comma 1, TUIR.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L'indennità in esame è riconosciuta a favore dei suddetti soggetti che presentano i seguenti requisiti: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a) non sono titolari di trattamento pensionistico diretto e non sono assicurati presso altre forme previdenziali obbligatorie. Tale requisito va mantenuto anche durante la percezione dell'indennità;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b) non sono beneficiari di reddito di cittadinanza di cui al </w:t>
      </w:r>
      <w:proofErr w:type="spellStart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DL</w:t>
      </w:r>
      <w:proofErr w:type="spellEnd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n. 4/2019. Tale requisito va mantenuto anche durante la percezione dell'indennità;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lastRenderedPageBreak/>
        <w:t>c) hanno prodotto un reddito di lavoro autonomo, nell'anno precedente la presentazione della domanda, inferiore al 50% della media dei redditi da lavoro autonomo conseguiti nei 3 anni precedenti l'anno precedente la presentazione della domanda;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d) hanno dichiarato nell'anno precedente alla presentazione della domanda un reddito non superiore a € 8.145, annualmente rivalutato sulla base della variazione dell'Indice ISTAT rispetto all'anno precedente;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e) sono in regola con la contribuzione previdenziale obbligatoria;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f) sono titolari di partita IVA attiva da almeno 4 anni alla data di presentazione della domanda, per l'attività che ha dato titolo all'iscrizione alla gestione previdenziale.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La cessazione della partita IVA nel corso dell'erogazione dell'indennità determina l'immediata cessazione della stessa.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L'indennità è erogata dall'INPS previa presentazione in via telematica di un'apposita domanda entro il 31.10 di ciascun anno (2021, 2022 e 2023).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L'indennità in esame:</w:t>
      </w:r>
    </w:p>
    <w:p w:rsidR="00764155" w:rsidRPr="00764155" w:rsidRDefault="00764155" w:rsidP="00764155">
      <w:pPr>
        <w:numPr>
          <w:ilvl w:val="0"/>
          <w:numId w:val="6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erogata per 6 mensilità, è pari al 25%, su base semestrale, dell'ultimo reddito certificato dall'Agenzia delle Entrate e non può in ogni caso superare il limite di € 800 mensili e non può essere inferiore a € 250 mensili;</w:t>
      </w:r>
    </w:p>
    <w:p w:rsidR="00764155" w:rsidRDefault="00764155" w:rsidP="00764155">
      <w:pPr>
        <w:numPr>
          <w:ilvl w:val="0"/>
          <w:numId w:val="6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spetta a decorrere dal primo giorno successivo alla presentazione della domanda, non comporta accredito di contribuzione figurativa e non concorre alla formazione del reddito del beneficiario.</w:t>
      </w:r>
    </w:p>
    <w:p w:rsidR="00764155" w:rsidRPr="00764155" w:rsidRDefault="00764155" w:rsidP="00764155">
      <w:pPr>
        <w:numPr>
          <w:ilvl w:val="0"/>
          <w:numId w:val="6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769"/>
      </w:tblGrid>
      <w:tr w:rsidR="00764155" w:rsidRPr="00764155" w:rsidTr="00764155">
        <w:tc>
          <w:tcPr>
            <w:tcW w:w="338" w:type="pct"/>
            <w:tcBorders>
              <w:top w:val="single" w:sz="6" w:space="0" w:color="575756"/>
              <w:left w:val="single" w:sz="6" w:space="0" w:color="575756"/>
              <w:bottom w:val="single" w:sz="6" w:space="0" w:color="575756"/>
              <w:right w:val="single" w:sz="6" w:space="0" w:color="57575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155" w:rsidRPr="00764155" w:rsidRDefault="00764155" w:rsidP="00764155">
            <w:pPr>
              <w:spacing w:before="15" w:after="100" w:afterAutospacing="1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4A4A4A"/>
                <w:sz w:val="24"/>
                <w:szCs w:val="24"/>
                <w:lang w:eastAsia="it-IT"/>
              </w:rPr>
              <w:drawing>
                <wp:inline distT="0" distB="0" distL="0" distR="0">
                  <wp:extent cx="533400" cy="600075"/>
                  <wp:effectExtent l="19050" t="0" r="0" b="0"/>
                  <wp:docPr id="5" name="Immagine 5" descr="https://allin-document.seac.it/api/Values/Immagine?idDatabank=319&amp;nomeFile=Af21005-web-resources/image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llin-document.seac.it/api/Values/Immagine?idDatabank=319&amp;nomeFile=Af21005-web-resources/image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pct"/>
            <w:tcBorders>
              <w:top w:val="single" w:sz="6" w:space="0" w:color="575756"/>
              <w:left w:val="single" w:sz="6" w:space="0" w:color="575756"/>
              <w:bottom w:val="single" w:sz="6" w:space="0" w:color="575756"/>
              <w:right w:val="single" w:sz="6" w:space="0" w:color="575756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4155" w:rsidRPr="00764155" w:rsidRDefault="00764155" w:rsidP="00764155">
            <w:pPr>
              <w:spacing w:after="15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</w:pPr>
            <w:r w:rsidRPr="0076415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Al fine di finanziare la nuova ISCRO è previsto </w:t>
            </w:r>
            <w:r w:rsidRPr="00764155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it-IT"/>
              </w:rPr>
              <w:t>l'aumento della contribuzione previdenziale</w:t>
            </w:r>
            <w:r w:rsidRPr="0076415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 dovuta alla Gestione separata INPS dai soggetti in esame nelle seguenti misure:</w:t>
            </w:r>
          </w:p>
          <w:p w:rsidR="00764155" w:rsidRPr="00764155" w:rsidRDefault="00764155" w:rsidP="00764155">
            <w:pPr>
              <w:numPr>
                <w:ilvl w:val="0"/>
                <w:numId w:val="7"/>
              </w:numPr>
              <w:spacing w:before="15" w:after="15" w:line="240" w:lineRule="auto"/>
              <w:ind w:left="930" w:firstLine="0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</w:pPr>
            <w:r w:rsidRPr="0076415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25,98% per il 2021;</w:t>
            </w:r>
          </w:p>
          <w:p w:rsidR="00764155" w:rsidRPr="00764155" w:rsidRDefault="00764155" w:rsidP="00764155">
            <w:pPr>
              <w:numPr>
                <w:ilvl w:val="0"/>
                <w:numId w:val="7"/>
              </w:numPr>
              <w:spacing w:before="15" w:after="15" w:line="240" w:lineRule="auto"/>
              <w:ind w:left="930" w:firstLine="0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</w:pPr>
            <w:r w:rsidRPr="0076415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26,49% per il 2022;</w:t>
            </w:r>
          </w:p>
          <w:p w:rsidR="00764155" w:rsidRPr="00764155" w:rsidRDefault="00764155" w:rsidP="00764155">
            <w:pPr>
              <w:numPr>
                <w:ilvl w:val="0"/>
                <w:numId w:val="7"/>
              </w:numPr>
              <w:spacing w:before="15" w:after="15" w:line="240" w:lineRule="auto"/>
              <w:ind w:left="930" w:firstLine="0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</w:pPr>
            <w:r w:rsidRPr="0076415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27,00% per il 2023.</w:t>
            </w:r>
          </w:p>
        </w:tc>
      </w:tr>
    </w:tbl>
    <w:p w:rsid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</w:p>
    <w:p w:rsidR="00764155" w:rsidRP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TRATTAMENTO IVA TEST / VACCINI COVID-19 - comma 452 e 453</w:t>
      </w:r>
    </w:p>
    <w:p w:rsid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In sede di approvazione è stata prevista l'applicazione dell'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esenzione IVA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con diritto alla detrazione fino al 31.12.2022 alle cessioni di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strumentazione per diagnostica COVID-19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aventi i requisiti di cui alla Direttiva UE n. 98/87 / Regolamento UE n. 745/2017 e alle prestazioni di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servizi strettamente</w:t>
      </w:r>
      <w:r w:rsidR="00095190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 xml:space="preserve"> 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connesse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a tale strumentazione (test) . Analogo trattamento è riservato alle cessioni di vaccini / prestazioni di servizi strettamente connesse a tali vaccini.</w:t>
      </w:r>
    </w:p>
    <w:p w:rsid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p w:rsidR="00764155" w:rsidRP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CEDOLARE SECCA LOCAZIONI BREVI - commi da 595 a 597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È confermata l'applicazione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dal 2021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della cedolare secca (21%) sulle locazioni brevi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solo in caso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di destinazione alla locazione di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non più di 4 appartamenti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per ciascun periodo d'imposta. Diversamente, l'attività di locazione, da chiunque esercitata, si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presume svolta in forma imprenditoriale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ai sensi dell'</w:t>
      </w:r>
      <w:hyperlink r:id="rId19" w:anchor="/document/10/2803572/20063145" w:history="1">
        <w:r w:rsidRPr="00764155">
          <w:rPr>
            <w:rFonts w:ascii="Arial" w:eastAsia="Times New Roman" w:hAnsi="Arial" w:cs="Arial"/>
            <w:color w:val="0079A3"/>
            <w:sz w:val="24"/>
            <w:szCs w:val="24"/>
            <w:lang w:eastAsia="it-IT"/>
          </w:rPr>
          <w:t>art. 2082, C.c.</w:t>
        </w:r>
      </w:hyperlink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Tale previsione è applicabile anche per i contratti stipulati tramite soggetti che gestiscono portali telematici mettendo in contatto persone in cerca di un immobile con persone che dispongono di appartamenti da condurre in locazione.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aps/>
          <w:color w:val="4A4A4A"/>
          <w:sz w:val="24"/>
          <w:szCs w:val="24"/>
          <w:lang w:eastAsia="it-IT"/>
        </w:rPr>
        <w:t>È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 confermata, come previsto dall'art. 13-quater, comma 4, </w:t>
      </w:r>
      <w:proofErr w:type="spellStart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DL</w:t>
      </w:r>
      <w:proofErr w:type="spellEnd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n. 34/2019,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l'istituzione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presso il MIBACT di un'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apposita banca dati delle strutture ricettive e degli immobili destinati alle locazioni brevi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che dovranno essere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 xml:space="preserve">identificati 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lastRenderedPageBreak/>
        <w:t>mediante un codice da utilizzare in ogni comunicazione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inerente l'offerta e la promozione degli stessi.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Rispetto alla previgente versione del citato comma 4 è ora disposto che:</w:t>
      </w:r>
    </w:p>
    <w:p w:rsidR="00764155" w:rsidRPr="00764155" w:rsidRDefault="00764155" w:rsidP="00764155">
      <w:pPr>
        <w:numPr>
          <w:ilvl w:val="0"/>
          <w:numId w:val="8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resta fermo ed applicabile quanto stabilito in materia dalle Leggi regionali;</w:t>
      </w:r>
    </w:p>
    <w:p w:rsidR="00764155" w:rsidRPr="00764155" w:rsidRDefault="00764155" w:rsidP="00764155">
      <w:pPr>
        <w:numPr>
          <w:ilvl w:val="0"/>
          <w:numId w:val="8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le Regioni / Province autonome di Trento e Bolzano sono tenute a trasmettere al Ministero i dati inerenti alle strutture ricettive e agli immobili in esame con i relativi codici identificativi regionali, ove adottati.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Le modalità di realizzazione / gestione della banca dati, di acquisizione dei codici identificativi regionali nonché le modalità di accesso alle informazioni raccolte sono demandate ad un apposito Decreto.</w:t>
      </w:r>
    </w:p>
    <w:p w:rsid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aps/>
          <w:color w:val="4A4A4A"/>
          <w:sz w:val="24"/>
          <w:szCs w:val="24"/>
          <w:lang w:eastAsia="it-IT"/>
        </w:rPr>
        <w:t>È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inoltre previsto che, oltre ai titolari delle strutture ricettive / intermediari immobiliari / gestori di portali telematici,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anche i soggetti che concedono in locazione breve immobili ad uso abitativo sono tenuti a pubblicare il codice identificativo dell'immobile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nelle comunicazioni inerenti l'offerta / promozione dello stesso.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p w:rsidR="00764155" w:rsidRP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ESENZIONE IMU SETTORE TURISTICO - commi 599 e 600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In sede di approvazione, a seguito degli effetti connessi all'emergenza COVID-19, è previsto che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non è dovuta la prima rata IMU 2021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con riferimento agli immobili ove si svolgono specifiche attività connesse ai settori del turismo, ricettività alberghiera e spettacoli. Trattasi, in particolare, dei seguenti immobili:</w:t>
      </w:r>
    </w:p>
    <w:p w:rsidR="00764155" w:rsidRPr="00764155" w:rsidRDefault="00764155" w:rsidP="00764155">
      <w:pPr>
        <w:numPr>
          <w:ilvl w:val="0"/>
          <w:numId w:val="9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stabilimenti balneari marittimi / lacuali / fluviali e stabilimenti termali;</w:t>
      </w:r>
    </w:p>
    <w:p w:rsidR="00764155" w:rsidRPr="00764155" w:rsidRDefault="00764155" w:rsidP="00764155">
      <w:pPr>
        <w:numPr>
          <w:ilvl w:val="0"/>
          <w:numId w:val="9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immobili rientranti nella categoria catastale D/2 e relative pertinenze, agriturismo, villaggi turistici, ostelli della gioventù, rifugi di montagna, colonie marine e montane, affittacamere per brevi soggiorni, case / appartamenti per vacanze, </w:t>
      </w:r>
      <w:proofErr w:type="spellStart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B&amp;B</w:t>
      </w:r>
      <w:proofErr w:type="spellEnd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, residence e campeggi,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a condizione che i relativi soggetti passivi IMU siano anche gestori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delle attività ivi esercitate;</w:t>
      </w:r>
    </w:p>
    <w:p w:rsidR="00764155" w:rsidRPr="00764155" w:rsidRDefault="00764155" w:rsidP="00764155">
      <w:pPr>
        <w:numPr>
          <w:ilvl w:val="0"/>
          <w:numId w:val="9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immobili rientranti nella categoria catastale D in uso da parte di imprese esercenti attività di allestimenti di strutture espositive nell'ambito di eventi fieristici / manifestazioni;</w:t>
      </w:r>
    </w:p>
    <w:p w:rsidR="00764155" w:rsidRPr="00764155" w:rsidRDefault="00764155" w:rsidP="00764155">
      <w:pPr>
        <w:numPr>
          <w:ilvl w:val="0"/>
          <w:numId w:val="9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immobili destinati a discoteche, sale da ballo, night club e simili,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a condizione che i relativi soggetti passivi IMU siano anche gestori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delle attività ivi esercitate.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769"/>
      </w:tblGrid>
      <w:tr w:rsidR="00764155" w:rsidRPr="00764155" w:rsidTr="00764155">
        <w:tc>
          <w:tcPr>
            <w:tcW w:w="338" w:type="pct"/>
            <w:tcBorders>
              <w:top w:val="single" w:sz="6" w:space="0" w:color="575756"/>
              <w:left w:val="single" w:sz="6" w:space="0" w:color="575756"/>
              <w:bottom w:val="single" w:sz="6" w:space="0" w:color="575756"/>
              <w:right w:val="single" w:sz="6" w:space="0" w:color="57575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155" w:rsidRPr="00764155" w:rsidRDefault="00764155" w:rsidP="00764155">
            <w:pPr>
              <w:spacing w:before="15" w:after="100" w:afterAutospacing="1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4A4A4A"/>
                <w:sz w:val="24"/>
                <w:szCs w:val="24"/>
                <w:lang w:eastAsia="it-IT"/>
              </w:rPr>
              <w:drawing>
                <wp:inline distT="0" distB="0" distL="0" distR="0">
                  <wp:extent cx="533400" cy="600075"/>
                  <wp:effectExtent l="19050" t="0" r="0" b="0"/>
                  <wp:docPr id="6" name="Immagine 6" descr="https://allin-document.seac.it/api/Values/Immagine?idDatabank=319&amp;nomeFile=Af21005-web-resources/image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llin-document.seac.it/api/Values/Immagine?idDatabank=319&amp;nomeFile=Af21005-web-resources/image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pct"/>
            <w:tcBorders>
              <w:top w:val="single" w:sz="6" w:space="0" w:color="575756"/>
              <w:left w:val="single" w:sz="6" w:space="0" w:color="575756"/>
              <w:bottom w:val="single" w:sz="6" w:space="0" w:color="575756"/>
              <w:right w:val="single" w:sz="6" w:space="0" w:color="575756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4155" w:rsidRPr="00764155" w:rsidRDefault="00764155" w:rsidP="00764155">
            <w:pPr>
              <w:spacing w:after="15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</w:pPr>
            <w:r w:rsidRPr="0076415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 xml:space="preserve">L'esenzione è applicabile nel rispetto dei limiti / condizioni previste dalla Comunicazione della Commissione UE 19.3.2020 C(2020), 1863 </w:t>
            </w:r>
            <w:proofErr w:type="spellStart"/>
            <w:r w:rsidRPr="0076415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final</w:t>
            </w:r>
            <w:proofErr w:type="spellEnd"/>
            <w:r w:rsidRPr="0076415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.</w:t>
            </w:r>
          </w:p>
        </w:tc>
      </w:tr>
    </w:tbl>
    <w:p w:rsid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</w:p>
    <w:p w:rsidR="00764155" w:rsidRP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 xml:space="preserve">"BONUS CANONI </w:t>
      </w:r>
      <w:proofErr w:type="spellStart"/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DI</w:t>
      </w:r>
      <w:proofErr w:type="spellEnd"/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 xml:space="preserve"> LOCAZIONE" - comma 602 e 603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L'art. 28, </w:t>
      </w:r>
      <w:proofErr w:type="spellStart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DL</w:t>
      </w:r>
      <w:proofErr w:type="spellEnd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n. 34/2020, c.d. "Decreto Rilancio" ha previsto uno specifico credito d'imposta riferito ai canoni di locazione degli immobili ad uso non abitativo.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Nell'ambito del </w:t>
      </w:r>
      <w:proofErr w:type="spellStart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DL</w:t>
      </w:r>
      <w:proofErr w:type="spellEnd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n. 104/2020, c.d. "Decreto Agosto", con l'art. 77 il Legislatore, modificando il citato art. 28, ha previsto che a favore delle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 xml:space="preserve">imprese </w:t>
      </w:r>
      <w:proofErr w:type="spellStart"/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turistico-ricettive</w:t>
      </w:r>
      <w:proofErr w:type="spellEnd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il credito d'imposta spetta fino al 31.12.2020.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In sede di approvazione con la modifica del comma 5 del citato art. 28, il predetto termine (31.12.2020) è stato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differito al 30.4.2021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e quindi il bonus spetta fino al mese di aprile. Lo stesso ora è stato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esteso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anche alle:</w:t>
      </w:r>
    </w:p>
    <w:p w:rsidR="00764155" w:rsidRPr="00764155" w:rsidRDefault="00764155" w:rsidP="00764155">
      <w:pPr>
        <w:numPr>
          <w:ilvl w:val="0"/>
          <w:numId w:val="10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agenzie di viaggio;</w:t>
      </w:r>
    </w:p>
    <w:p w:rsidR="00764155" w:rsidRPr="00764155" w:rsidRDefault="00764155" w:rsidP="00764155">
      <w:pPr>
        <w:numPr>
          <w:ilvl w:val="0"/>
          <w:numId w:val="10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tour </w:t>
      </w:r>
      <w:proofErr w:type="spellStart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operator</w:t>
      </w:r>
      <w:proofErr w:type="spellEnd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.</w:t>
      </w:r>
    </w:p>
    <w:p w:rsidR="00764155" w:rsidRP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lastRenderedPageBreak/>
        <w:t>BONUS PUBBLICITÀ - comma 608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È confermata l'introduzione del nuovo comma 1-quater all'art. 57-bis, </w:t>
      </w:r>
      <w:proofErr w:type="spellStart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DL</w:t>
      </w:r>
      <w:proofErr w:type="spellEnd"/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n. 50/2017, che prevede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anche per il 2021 e 2022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la quantificazione del c.d. "bonus pubblicità" a favore di imprese / enti non commerciali / lavoratori autonomi che investono in "campagne pubblicitarie" su giornali quotidiani / periodici, anche in formato digitale,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nella misura unica del 50% degli investimenti effettuati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(anziché del 75% degli investimenti incrementali).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769"/>
      </w:tblGrid>
      <w:tr w:rsidR="00764155" w:rsidRPr="00764155" w:rsidTr="00764155">
        <w:tc>
          <w:tcPr>
            <w:tcW w:w="338" w:type="pct"/>
            <w:tcBorders>
              <w:top w:val="single" w:sz="6" w:space="0" w:color="575756"/>
              <w:left w:val="single" w:sz="6" w:space="0" w:color="575756"/>
              <w:bottom w:val="single" w:sz="6" w:space="0" w:color="575756"/>
              <w:right w:val="single" w:sz="6" w:space="0" w:color="57575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155" w:rsidRPr="00764155" w:rsidRDefault="00764155" w:rsidP="00764155">
            <w:pPr>
              <w:spacing w:before="15" w:after="100" w:afterAutospacing="1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4A4A4A"/>
                <w:sz w:val="24"/>
                <w:szCs w:val="24"/>
                <w:lang w:eastAsia="it-IT"/>
              </w:rPr>
              <w:drawing>
                <wp:inline distT="0" distB="0" distL="0" distR="0">
                  <wp:extent cx="533400" cy="600075"/>
                  <wp:effectExtent l="19050" t="0" r="0" b="0"/>
                  <wp:docPr id="7" name="Immagine 7" descr="https://allin-document.seac.it/api/Values/Immagine?idDatabank=319&amp;nomeFile=Af21005-web-resources/image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llin-document.seac.it/api/Values/Immagine?idDatabank=319&amp;nomeFile=Af21005-web-resources/image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pct"/>
            <w:tcBorders>
              <w:top w:val="single" w:sz="6" w:space="0" w:color="575756"/>
              <w:left w:val="single" w:sz="6" w:space="0" w:color="575756"/>
              <w:bottom w:val="single" w:sz="6" w:space="0" w:color="575756"/>
              <w:right w:val="single" w:sz="6" w:space="0" w:color="575756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4155" w:rsidRPr="00764155" w:rsidRDefault="00764155" w:rsidP="00764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</w:pPr>
            <w:r w:rsidRPr="0076415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Per il biennio 2021 - 2022, il bonus in esame </w:t>
            </w:r>
            <w:r w:rsidRPr="00764155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it-IT"/>
              </w:rPr>
              <w:t>non è riconosciuto</w:t>
            </w:r>
            <w:r w:rsidRPr="00764155">
              <w:rPr>
                <w:rFonts w:ascii="Arial" w:eastAsia="Times New Roman" w:hAnsi="Arial" w:cs="Arial"/>
                <w:color w:val="4A4A4A"/>
                <w:sz w:val="24"/>
                <w:szCs w:val="24"/>
                <w:lang w:eastAsia="it-IT"/>
              </w:rPr>
              <w:t> per gli investimenti pubblicitari effettuati su emittenti televisive / radiofoniche.</w:t>
            </w:r>
          </w:p>
        </w:tc>
      </w:tr>
    </w:tbl>
    <w:p w:rsid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</w:p>
    <w:p w:rsidR="00764155" w:rsidRPr="00764155" w:rsidRDefault="00764155" w:rsidP="00764155">
      <w:pPr>
        <w:shd w:val="clear" w:color="auto" w:fill="E7F5FD"/>
        <w:spacing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BONUS EDICOLE - comma 609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È confermata l'estensione </w:t>
      </w:r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anche per il 2021 e 2022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del c.d. "bonus edicole", ossia del credito d'imposta (ex art. 1, commi da 806 a 809, Finanziaria 2019) a favore:</w:t>
      </w:r>
    </w:p>
    <w:p w:rsidR="00764155" w:rsidRPr="00764155" w:rsidRDefault="00764155" w:rsidP="00764155">
      <w:pPr>
        <w:numPr>
          <w:ilvl w:val="0"/>
          <w:numId w:val="11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degli esercenti attività commerciali operanti esclusivamente nella vendita al dettaglio di giornali / riviste / periodici;</w:t>
      </w:r>
    </w:p>
    <w:p w:rsidR="00764155" w:rsidRPr="00764155" w:rsidRDefault="00764155" w:rsidP="00764155">
      <w:pPr>
        <w:numPr>
          <w:ilvl w:val="0"/>
          <w:numId w:val="11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delle imprese di distribuzione della stampa che riforniscono giornali quotidiani e/o periodici rivendite situate in Comuni con una popolazione inferiore a 5.000 abitanti e in Comuni con un solo punto vendita;</w:t>
      </w:r>
    </w:p>
    <w:p w:rsidR="00764155" w:rsidRPr="00764155" w:rsidRDefault="00764155" w:rsidP="00764155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proofErr w:type="spellStart"/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parametrato</w:t>
      </w:r>
      <w:proofErr w:type="spellEnd"/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 xml:space="preserve"> agli importi pagati a titolo di IMU, TASI, </w:t>
      </w:r>
      <w:proofErr w:type="spellStart"/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Cosap</w:t>
      </w:r>
      <w:proofErr w:type="spellEnd"/>
      <w:r w:rsidRPr="00764155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 xml:space="preserve"> e TARI</w:t>
      </w:r>
      <w:r w:rsidRPr="00764155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con riferimento ai locali dove si svolge l'attività di vendita, nonché ad altre eventuali spese di locazione / altre spese individuate dal MEF, anche in relazione all'assenza di punti vendita della stampa nel territorio comunale.</w:t>
      </w:r>
    </w:p>
    <w:p w:rsidR="00764155" w:rsidRDefault="00764155"/>
    <w:p w:rsidR="00DC76E7" w:rsidRDefault="00DC76E7">
      <w:pPr>
        <w:rPr>
          <w:rFonts w:ascii="Arial" w:hAnsi="Arial" w:cs="Arial"/>
          <w:b/>
          <w:bCs/>
          <w:color w:val="4A4A4A"/>
          <w:shd w:val="clear" w:color="auto" w:fill="E7F5FD"/>
        </w:rPr>
      </w:pPr>
      <w:r>
        <w:rPr>
          <w:rFonts w:ascii="Arial" w:hAnsi="Arial" w:cs="Arial"/>
          <w:b/>
          <w:bCs/>
          <w:color w:val="4A4A4A"/>
          <w:shd w:val="clear" w:color="auto" w:fill="E7F5FD"/>
        </w:rPr>
        <w:t>SEMPLIFICAZIONI FISCALI - commi da 1102 a 1107</w:t>
      </w:r>
    </w:p>
    <w:p w:rsidR="00DC76E7" w:rsidRDefault="00DC76E7"/>
    <w:p w:rsidR="00DC76E7" w:rsidRDefault="00DC76E7" w:rsidP="00DC76E7">
      <w:pPr>
        <w:pStyle w:val="titolo4"/>
        <w:shd w:val="clear" w:color="auto" w:fill="FFFFFF"/>
        <w:spacing w:before="135" w:beforeAutospacing="0" w:after="60" w:afterAutospacing="0"/>
        <w:rPr>
          <w:rFonts w:ascii="Arial" w:hAnsi="Arial" w:cs="Arial"/>
          <w:b/>
          <w:bCs/>
          <w:caps/>
          <w:color w:val="4A4A4A"/>
        </w:rPr>
      </w:pPr>
      <w:r>
        <w:rPr>
          <w:rFonts w:ascii="Arial" w:hAnsi="Arial" w:cs="Arial"/>
          <w:b/>
          <w:bCs/>
          <w:caps/>
          <w:color w:val="4A4A4A"/>
        </w:rPr>
        <w:t>PROROGA AL 2021 DIVIETO EMISSIONE FATTURA ELETTRONICA</w:t>
      </w:r>
    </w:p>
    <w:p w:rsidR="00DC76E7" w:rsidRDefault="00DC76E7" w:rsidP="00DC76E7">
      <w:pPr>
        <w:pStyle w:val="body-text"/>
        <w:shd w:val="clear" w:color="auto" w:fill="FFFFFF"/>
        <w:spacing w:before="0" w:beforeAutospacing="0" w:after="15" w:afterAutospacing="0"/>
        <w:jc w:val="both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È confermato, con la modifica dell'</w:t>
      </w:r>
      <w:hyperlink r:id="rId20" w:anchor="/document/7/2799495/19964863" w:history="1">
        <w:r>
          <w:rPr>
            <w:rStyle w:val="Collegamentoipertestuale"/>
            <w:rFonts w:ascii="Arial" w:hAnsi="Arial" w:cs="Arial"/>
            <w:color w:val="0079A3"/>
            <w:u w:val="none"/>
          </w:rPr>
          <w:t xml:space="preserve">art. 10-bis, </w:t>
        </w:r>
        <w:proofErr w:type="spellStart"/>
        <w:r>
          <w:rPr>
            <w:rStyle w:val="Collegamentoipertestuale"/>
            <w:rFonts w:ascii="Arial" w:hAnsi="Arial" w:cs="Arial"/>
            <w:color w:val="0079A3"/>
            <w:u w:val="none"/>
          </w:rPr>
          <w:t>DL</w:t>
        </w:r>
        <w:proofErr w:type="spellEnd"/>
        <w:r>
          <w:rPr>
            <w:rStyle w:val="Collegamentoipertestuale"/>
            <w:rFonts w:ascii="Arial" w:hAnsi="Arial" w:cs="Arial"/>
            <w:color w:val="0079A3"/>
            <w:u w:val="none"/>
          </w:rPr>
          <w:t xml:space="preserve"> n. 119/2018</w:t>
        </w:r>
      </w:hyperlink>
      <w:r>
        <w:rPr>
          <w:rFonts w:ascii="Arial" w:hAnsi="Arial" w:cs="Arial"/>
          <w:color w:val="4A4A4A"/>
        </w:rPr>
        <w:t>, che anche per il 2021 i soggetti tenuti all'invio dei dati al Sistema Tessera Sanitaria (STS) non possono emettere fattura elettronica con riferimento alle fatture i cui dati sono da inviare al STS.</w:t>
      </w:r>
    </w:p>
    <w:p w:rsidR="00DC76E7" w:rsidRDefault="00DC76E7" w:rsidP="00DC76E7">
      <w:pPr>
        <w:pStyle w:val="body-text"/>
        <w:shd w:val="clear" w:color="auto" w:fill="FFFFFF"/>
        <w:spacing w:before="0" w:beforeAutospacing="0" w:after="15" w:afterAutospacing="0"/>
        <w:jc w:val="both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Come evidenziato nella citata Relazione illustrativa al </w:t>
      </w:r>
      <w:proofErr w:type="spellStart"/>
      <w:r>
        <w:rPr>
          <w:rFonts w:ascii="Arial" w:hAnsi="Arial" w:cs="Arial"/>
          <w:color w:val="4A4A4A"/>
        </w:rPr>
        <w:t>dll</w:t>
      </w:r>
      <w:proofErr w:type="spellEnd"/>
      <w:r>
        <w:rPr>
          <w:rFonts w:ascii="Arial" w:hAnsi="Arial" w:cs="Arial"/>
          <w:color w:val="4A4A4A"/>
        </w:rPr>
        <w:t xml:space="preserve">, per effetto del rinvio contenuto nell'art. 9-bis, </w:t>
      </w:r>
      <w:proofErr w:type="spellStart"/>
      <w:r>
        <w:rPr>
          <w:rFonts w:ascii="Arial" w:hAnsi="Arial" w:cs="Arial"/>
          <w:color w:val="4A4A4A"/>
        </w:rPr>
        <w:t>DL</w:t>
      </w:r>
      <w:proofErr w:type="spellEnd"/>
      <w:r>
        <w:rPr>
          <w:rFonts w:ascii="Arial" w:hAnsi="Arial" w:cs="Arial"/>
          <w:color w:val="4A4A4A"/>
        </w:rPr>
        <w:t xml:space="preserve"> n. 135/2018, che prevede l'applicazione delle disposizioni di cui al citato art. 10-bis anche ai soggetti non tenuti all'invio dei dati al STS, viene esteso </w:t>
      </w:r>
      <w:r>
        <w:rPr>
          <w:rStyle w:val="charoverride-1"/>
          <w:rFonts w:ascii="Arial" w:hAnsi="Arial" w:cs="Arial"/>
          <w:b/>
          <w:bCs/>
          <w:color w:val="4A4A4A"/>
        </w:rPr>
        <w:t>anche per il 2021 il</w:t>
      </w:r>
      <w:r w:rsidR="00095190">
        <w:rPr>
          <w:rStyle w:val="charoverride-1"/>
          <w:rFonts w:ascii="Arial" w:hAnsi="Arial" w:cs="Arial"/>
          <w:b/>
          <w:bCs/>
          <w:color w:val="4A4A4A"/>
        </w:rPr>
        <w:t xml:space="preserve"> </w:t>
      </w:r>
      <w:r>
        <w:rPr>
          <w:rStyle w:val="charoverride-1"/>
          <w:rFonts w:ascii="Arial" w:hAnsi="Arial" w:cs="Arial"/>
          <w:b/>
          <w:bCs/>
          <w:color w:val="4A4A4A"/>
        </w:rPr>
        <w:t xml:space="preserve">divieto di emissione di fatture elettroniche tramite </w:t>
      </w:r>
      <w:proofErr w:type="spellStart"/>
      <w:r>
        <w:rPr>
          <w:rStyle w:val="charoverride-1"/>
          <w:rFonts w:ascii="Arial" w:hAnsi="Arial" w:cs="Arial"/>
          <w:b/>
          <w:bCs/>
          <w:color w:val="4A4A4A"/>
        </w:rPr>
        <w:t>SdI</w:t>
      </w:r>
      <w:proofErr w:type="spellEnd"/>
      <w:r>
        <w:rPr>
          <w:rStyle w:val="charoverride-1"/>
          <w:rFonts w:ascii="Arial" w:hAnsi="Arial" w:cs="Arial"/>
          <w:b/>
          <w:bCs/>
          <w:color w:val="4A4A4A"/>
        </w:rPr>
        <w:t xml:space="preserve"> per le prestazioni sanitarie effettuate nei confronti delle persone fisiche</w:t>
      </w:r>
      <w:r>
        <w:rPr>
          <w:rFonts w:ascii="Arial" w:hAnsi="Arial" w:cs="Arial"/>
          <w:color w:val="4A4A4A"/>
        </w:rPr>
        <w:t>.</w:t>
      </w:r>
    </w:p>
    <w:p w:rsidR="00C01846" w:rsidRDefault="00C01846"/>
    <w:p w:rsidR="00DC76E7" w:rsidRPr="00DC76E7" w:rsidRDefault="00DC76E7" w:rsidP="00DC76E7">
      <w:pPr>
        <w:shd w:val="clear" w:color="auto" w:fill="FFFFFF"/>
        <w:spacing w:before="135" w:after="60" w:line="240" w:lineRule="auto"/>
        <w:rPr>
          <w:rFonts w:ascii="Arial" w:eastAsia="Times New Roman" w:hAnsi="Arial" w:cs="Arial"/>
          <w:b/>
          <w:bCs/>
          <w:caps/>
          <w:color w:val="4A4A4A"/>
          <w:sz w:val="24"/>
          <w:szCs w:val="24"/>
          <w:lang w:eastAsia="it-IT"/>
        </w:rPr>
      </w:pPr>
      <w:r w:rsidRPr="00DC76E7">
        <w:rPr>
          <w:rFonts w:ascii="Arial" w:eastAsia="Times New Roman" w:hAnsi="Arial" w:cs="Arial"/>
          <w:b/>
          <w:bCs/>
          <w:caps/>
          <w:color w:val="4A4A4A"/>
          <w:sz w:val="24"/>
          <w:szCs w:val="24"/>
          <w:lang w:eastAsia="it-IT"/>
        </w:rPr>
        <w:t>ESTEROMETRO</w:t>
      </w:r>
    </w:p>
    <w:p w:rsidR="00DC76E7" w:rsidRPr="00DC76E7" w:rsidRDefault="00DC76E7" w:rsidP="00DC76E7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È confermato che, per effetto dell'implementazione del comma 3-bis dell'art. 1, </w:t>
      </w:r>
      <w:proofErr w:type="spellStart"/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D.Lgs.</w:t>
      </w:r>
      <w:proofErr w:type="spellEnd"/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n. 127/2015, </w:t>
      </w:r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dall'1.1.2022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i dati delle cessioni di beni / prestazioni di servizi effettuate e ricevute verso / da soggetti non stabiliti in Italia (con esclusione di quelle per le quali è emessa bolletta doganale ovvero emessa / ricevuta fattura elettronica), attualmente inviati telematicamente all'Agenzia delle Entrate tramite il c.d. "</w:t>
      </w:r>
      <w:proofErr w:type="spellStart"/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spesometro</w:t>
      </w:r>
      <w:proofErr w:type="spellEnd"/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estero" / "</w:t>
      </w:r>
      <w:proofErr w:type="spellStart"/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esterometro</w:t>
      </w:r>
      <w:proofErr w:type="spellEnd"/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" con periodicità trimestrale, dovranno essere </w:t>
      </w:r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 xml:space="preserve">trasmessi telematicamente utilizzando </w:t>
      </w:r>
      <w:proofErr w:type="spellStart"/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SdI</w:t>
      </w:r>
      <w:proofErr w:type="spellEnd"/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, secondo "</w:t>
      </w:r>
      <w:r w:rsidRPr="00DC76E7">
        <w:rPr>
          <w:rFonts w:ascii="Arial" w:eastAsia="Times New Roman" w:hAnsi="Arial" w:cs="Arial"/>
          <w:i/>
          <w:iCs/>
          <w:color w:val="4A4A4A"/>
          <w:sz w:val="24"/>
          <w:szCs w:val="24"/>
          <w:lang w:eastAsia="it-IT"/>
        </w:rPr>
        <w:t>il formato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" previsto per la fattura elettronica:</w:t>
      </w:r>
    </w:p>
    <w:p w:rsidR="00DC76E7" w:rsidRPr="00DC76E7" w:rsidRDefault="00DC76E7" w:rsidP="00DC76E7">
      <w:pPr>
        <w:numPr>
          <w:ilvl w:val="0"/>
          <w:numId w:val="12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lastRenderedPageBreak/>
        <w:t>entro i termini di emissione delle fatture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/ documenti che ne certificano i corrispettivi (in linea generale 12 giorni dalla data di effettuazione dell'operazione) con riferimento alle </w:t>
      </w:r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cessioni / prestazioni rese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;</w:t>
      </w:r>
    </w:p>
    <w:p w:rsidR="00DC76E7" w:rsidRPr="00DC76E7" w:rsidRDefault="00DC76E7" w:rsidP="00DC76E7">
      <w:pPr>
        <w:numPr>
          <w:ilvl w:val="0"/>
          <w:numId w:val="12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entro il quindicesimo giorno del mese successivo a quello di ricevimento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del documento comprovante l'operazione / di effettuazione dell'operazione, con riferimento agli </w:t>
      </w:r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acquisti / prestazioni ricevute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.</w:t>
      </w:r>
    </w:p>
    <w:p w:rsidR="00DC76E7" w:rsidRPr="00DC76E7" w:rsidRDefault="00DC76E7" w:rsidP="00DC76E7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Come evidenziato nella citata Relazione illustrativa al ddl, tale modifica è finalizzata a semplificare gli adempimenti dei soggetti passivi IVA:</w:t>
      </w:r>
    </w:p>
    <w:p w:rsidR="00DC76E7" w:rsidRPr="00DC76E7" w:rsidRDefault="00DC76E7" w:rsidP="00DC76E7">
      <w:pPr>
        <w:numPr>
          <w:ilvl w:val="0"/>
          <w:numId w:val="13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prevedendo l'utilizzo di un </w:t>
      </w:r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unico canale di trasmissione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(</w:t>
      </w:r>
      <w:proofErr w:type="spellStart"/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SdI</w:t>
      </w:r>
      <w:proofErr w:type="spellEnd"/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) sia per le fatture elettroniche che per i dati delle operazioni con l'estero, eliminando così l'invio dell'apposita comunicazione con riferimento a queste ultime;</w:t>
      </w:r>
    </w:p>
    <w:p w:rsidR="00DC76E7" w:rsidRPr="00DC76E7" w:rsidRDefault="00DC76E7" w:rsidP="00DC76E7">
      <w:pPr>
        <w:numPr>
          <w:ilvl w:val="0"/>
          <w:numId w:val="13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allineando le tempistiche di trasmissione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dei dati delle operazioni con l'estero alle annotazioni da effettuare per le medesime operazioni sui documenti contabili e fiscali;</w:t>
      </w:r>
    </w:p>
    <w:p w:rsidR="00DC76E7" w:rsidRPr="00DC76E7" w:rsidRDefault="00DC76E7" w:rsidP="00DC76E7">
      <w:pPr>
        <w:numPr>
          <w:ilvl w:val="0"/>
          <w:numId w:val="13"/>
        </w:numPr>
        <w:shd w:val="clear" w:color="auto" w:fill="FFFFFF"/>
        <w:spacing w:before="15" w:after="15" w:line="240" w:lineRule="auto"/>
        <w:ind w:left="930" w:firstLine="0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consentendo all'Agenzia delle Entrate di elaborare in modo più completo le bozze dei registri IVA / LIPE / mod. IVA come previsto dall'art. 4, </w:t>
      </w:r>
      <w:proofErr w:type="spellStart"/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D.Lgs.</w:t>
      </w:r>
      <w:proofErr w:type="spellEnd"/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 xml:space="preserve"> n. 127/2015.</w:t>
      </w:r>
    </w:p>
    <w:p w:rsidR="00DC76E7" w:rsidRPr="00DC76E7" w:rsidRDefault="00DC76E7" w:rsidP="00DC76E7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È confermato che </w:t>
      </w:r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dall'1.1.2022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, con la modifica dell'art. 11, comma 2-quater, </w:t>
      </w:r>
      <w:proofErr w:type="spellStart"/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fldChar w:fldCharType="begin"/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instrText xml:space="preserve"> HYPERLINK "https://all-in.seac.it/" \l "/document/7/2804664/19712259" </w:instrTex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fldChar w:fldCharType="separate"/>
      </w:r>
      <w:r w:rsidRPr="00DC76E7">
        <w:rPr>
          <w:rFonts w:ascii="Arial" w:eastAsia="Times New Roman" w:hAnsi="Arial" w:cs="Arial"/>
          <w:color w:val="0079A3"/>
          <w:sz w:val="24"/>
          <w:szCs w:val="24"/>
          <w:lang w:eastAsia="it-IT"/>
        </w:rPr>
        <w:t>D.Lgs.</w:t>
      </w:r>
      <w:proofErr w:type="spellEnd"/>
      <w:r w:rsidRPr="00DC76E7">
        <w:rPr>
          <w:rFonts w:ascii="Arial" w:eastAsia="Times New Roman" w:hAnsi="Arial" w:cs="Arial"/>
          <w:color w:val="0079A3"/>
          <w:sz w:val="24"/>
          <w:szCs w:val="24"/>
          <w:lang w:eastAsia="it-IT"/>
        </w:rPr>
        <w:t xml:space="preserve"> n. 471/97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fldChar w:fldCharType="end"/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, in caso di omessa / errata trasmissione dei dati delle operazioni da / verso l'estero è applicabile la sanzione di </w:t>
      </w:r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€ 2 per ciascuna fattura nel limite massimo di€400 mensili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(in luogo dell'attuale limite di € 1.000 per ciascun trimestre).</w:t>
      </w:r>
    </w:p>
    <w:p w:rsidR="00DC76E7" w:rsidRPr="00DC76E7" w:rsidRDefault="00DC76E7" w:rsidP="00DC76E7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É inoltre prevista la </w:t>
      </w:r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riduzione alla metà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della sanzione entro il </w:t>
      </w:r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nuovo limite di € 200 mensili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(in luogo dell'attuale limite di € 500), se la trasmissione è effettuata </w:t>
      </w:r>
      <w:r w:rsidRPr="00DC76E7">
        <w:rPr>
          <w:rFonts w:ascii="Arial" w:eastAsia="Times New Roman" w:hAnsi="Arial" w:cs="Arial"/>
          <w:b/>
          <w:bCs/>
          <w:color w:val="4A4A4A"/>
          <w:sz w:val="24"/>
          <w:szCs w:val="24"/>
          <w:lang w:eastAsia="it-IT"/>
        </w:rPr>
        <w:t>entro i 15 giorni</w:t>
      </w:r>
      <w:r w:rsidRPr="00DC76E7">
        <w:rPr>
          <w:rFonts w:ascii="Arial" w:eastAsia="Times New Roman" w:hAnsi="Arial" w:cs="Arial"/>
          <w:color w:val="4A4A4A"/>
          <w:sz w:val="24"/>
          <w:szCs w:val="24"/>
          <w:lang w:eastAsia="it-IT"/>
        </w:rPr>
        <w:t> successivi ovvero se, nel medesimo termine, è effettuata la trasmissione corretta dei dati.</w:t>
      </w:r>
    </w:p>
    <w:p w:rsidR="00DC76E7" w:rsidRDefault="00DC76E7"/>
    <w:sectPr w:rsidR="00DC76E7" w:rsidSect="00B51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410"/>
    <w:multiLevelType w:val="multilevel"/>
    <w:tmpl w:val="D800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83DB2"/>
    <w:multiLevelType w:val="multilevel"/>
    <w:tmpl w:val="47BC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726FB"/>
    <w:multiLevelType w:val="multilevel"/>
    <w:tmpl w:val="EEE6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E4049"/>
    <w:multiLevelType w:val="multilevel"/>
    <w:tmpl w:val="F5C8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F5EF8"/>
    <w:multiLevelType w:val="multilevel"/>
    <w:tmpl w:val="1E94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14CCC"/>
    <w:multiLevelType w:val="multilevel"/>
    <w:tmpl w:val="06F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C1A32"/>
    <w:multiLevelType w:val="multilevel"/>
    <w:tmpl w:val="630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5428B"/>
    <w:multiLevelType w:val="multilevel"/>
    <w:tmpl w:val="2358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A016A"/>
    <w:multiLevelType w:val="multilevel"/>
    <w:tmpl w:val="F812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4100C"/>
    <w:multiLevelType w:val="multilevel"/>
    <w:tmpl w:val="9866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607F8"/>
    <w:multiLevelType w:val="multilevel"/>
    <w:tmpl w:val="A7C4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E96319"/>
    <w:multiLevelType w:val="multilevel"/>
    <w:tmpl w:val="088C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037FC"/>
    <w:multiLevelType w:val="multilevel"/>
    <w:tmpl w:val="EB8E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3515"/>
    <w:rsid w:val="00095190"/>
    <w:rsid w:val="001B373E"/>
    <w:rsid w:val="00764155"/>
    <w:rsid w:val="00B51093"/>
    <w:rsid w:val="00C01846"/>
    <w:rsid w:val="00DC76E7"/>
    <w:rsid w:val="00DF5B9C"/>
    <w:rsid w:val="00FC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0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-text">
    <w:name w:val="body-text"/>
    <w:basedOn w:val="Normale"/>
    <w:rsid w:val="00FC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override-1">
    <w:name w:val="charoverride-1"/>
    <w:basedOn w:val="Carpredefinitoparagrafo"/>
    <w:rsid w:val="00FC3515"/>
  </w:style>
  <w:style w:type="character" w:styleId="Collegamentoipertestuale">
    <w:name w:val="Hyperlink"/>
    <w:basedOn w:val="Carpredefinitoparagrafo"/>
    <w:uiPriority w:val="99"/>
    <w:semiHidden/>
    <w:unhideWhenUsed/>
    <w:rsid w:val="00FC3515"/>
    <w:rPr>
      <w:color w:val="0000FF"/>
      <w:u w:val="single"/>
    </w:rPr>
  </w:style>
  <w:style w:type="paragraph" w:customStyle="1" w:styleId="paraoverride-2">
    <w:name w:val="paraoverride-2"/>
    <w:basedOn w:val="Normale"/>
    <w:rsid w:val="00FC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515"/>
    <w:rPr>
      <w:rFonts w:ascii="Tahoma" w:hAnsi="Tahoma" w:cs="Tahoma"/>
      <w:sz w:val="16"/>
      <w:szCs w:val="16"/>
    </w:rPr>
  </w:style>
  <w:style w:type="paragraph" w:customStyle="1" w:styleId="r50">
    <w:name w:val="r50"/>
    <w:basedOn w:val="Normale"/>
    <w:rsid w:val="0076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override-3">
    <w:name w:val="charoverride-3"/>
    <w:basedOn w:val="Carpredefinitoparagrafo"/>
    <w:rsid w:val="00764155"/>
  </w:style>
  <w:style w:type="character" w:customStyle="1" w:styleId="page-number">
    <w:name w:val="page-number"/>
    <w:basedOn w:val="Carpredefinitoparagrafo"/>
    <w:rsid w:val="00764155"/>
  </w:style>
  <w:style w:type="paragraph" w:customStyle="1" w:styleId="titolo4">
    <w:name w:val="titolo4"/>
    <w:basedOn w:val="Normale"/>
    <w:rsid w:val="00DC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override-6">
    <w:name w:val="charoverride-6"/>
    <w:basedOn w:val="Carpredefinitoparagrafo"/>
    <w:rsid w:val="00DC7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773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001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2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711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19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78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39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244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77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28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5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40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60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-in.seac.it/" TargetMode="External"/><Relationship Id="rId13" Type="http://schemas.openxmlformats.org/officeDocument/2006/relationships/hyperlink" Target="https://all-in.seac.it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ll-in.seac.it/" TargetMode="External"/><Relationship Id="rId12" Type="http://schemas.openxmlformats.org/officeDocument/2006/relationships/hyperlink" Target="https://all-in.seac.it/" TargetMode="External"/><Relationship Id="rId17" Type="http://schemas.openxmlformats.org/officeDocument/2006/relationships/hyperlink" Target="https://all-in.seac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l-in.seac.it/" TargetMode="External"/><Relationship Id="rId20" Type="http://schemas.openxmlformats.org/officeDocument/2006/relationships/hyperlink" Target="https://all-in.seac.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ll-in.seac.it/" TargetMode="External"/><Relationship Id="rId11" Type="http://schemas.openxmlformats.org/officeDocument/2006/relationships/hyperlink" Target="https://all-in.seac.it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ll-in.seac.it/" TargetMode="External"/><Relationship Id="rId10" Type="http://schemas.openxmlformats.org/officeDocument/2006/relationships/hyperlink" Target="https://all-in.seac.it/" TargetMode="External"/><Relationship Id="rId19" Type="http://schemas.openxmlformats.org/officeDocument/2006/relationships/hyperlink" Target="https://all-in.seac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-in.seac.it/" TargetMode="External"/><Relationship Id="rId14" Type="http://schemas.openxmlformats.org/officeDocument/2006/relationships/hyperlink" Target="https://all-in.seac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3079</Words>
  <Characters>17556</Characters>
  <Application>Microsoft Office Word</Application>
  <DocSecurity>0</DocSecurity>
  <Lines>146</Lines>
  <Paragraphs>41</Paragraphs>
  <ScaleCrop>false</ScaleCrop>
  <Company/>
  <LinksUpToDate>false</LinksUpToDate>
  <CharactersWithSpaces>20594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silviap</dc:creator>
  <cp:lastModifiedBy>silviap</cp:lastModifiedBy>
  <cp:revision>7</cp:revision>
  <dcterms:created xsi:type="dcterms:W3CDTF">2021-01-12T08:16:00Z</dcterms:created>
  <dcterms:modified xsi:type="dcterms:W3CDTF">2021-01-12T08:28:00Z</dcterms:modified>
</cp:coreProperties>
</file>